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50" w:rsidRPr="00751308" w:rsidRDefault="00FE7C6A" w:rsidP="00EF3898">
      <w:pPr>
        <w:spacing w:line="480" w:lineRule="auto"/>
        <w:rPr>
          <w:sz w:val="24"/>
          <w:szCs w:val="24"/>
        </w:rPr>
      </w:pPr>
    </w:p>
    <w:p w:rsidR="003265B3" w:rsidRPr="00751308" w:rsidRDefault="00694074" w:rsidP="00751308">
      <w:pPr>
        <w:spacing w:line="480" w:lineRule="auto"/>
        <w:jc w:val="center"/>
        <w:rPr>
          <w:b/>
          <w:sz w:val="24"/>
          <w:szCs w:val="24"/>
        </w:rPr>
      </w:pPr>
      <w:r w:rsidRPr="00751308">
        <w:rPr>
          <w:b/>
          <w:sz w:val="24"/>
          <w:szCs w:val="24"/>
        </w:rPr>
        <w:t>American Justice System</w:t>
      </w:r>
      <w:bookmarkStart w:id="0" w:name="_GoBack"/>
      <w:bookmarkEnd w:id="0"/>
    </w:p>
    <w:p w:rsidR="00EF0350" w:rsidRPr="00751308" w:rsidRDefault="00694074" w:rsidP="00751308">
      <w:pPr>
        <w:spacing w:line="480" w:lineRule="auto"/>
        <w:jc w:val="center"/>
        <w:rPr>
          <w:b/>
          <w:sz w:val="24"/>
          <w:szCs w:val="24"/>
        </w:rPr>
      </w:pPr>
      <w:r w:rsidRPr="00751308">
        <w:rPr>
          <w:b/>
          <w:sz w:val="24"/>
          <w:szCs w:val="24"/>
        </w:rPr>
        <w:t>American Justice System: Case Analysis (Section II) Violation</w:t>
      </w:r>
    </w:p>
    <w:p w:rsidR="00EF0350" w:rsidRPr="00751308" w:rsidRDefault="00FE7C6A" w:rsidP="00751308">
      <w:pPr>
        <w:spacing w:line="480" w:lineRule="auto"/>
        <w:rPr>
          <w:b/>
          <w:sz w:val="24"/>
          <w:szCs w:val="24"/>
        </w:rPr>
      </w:pPr>
    </w:p>
    <w:p w:rsidR="00EF0350" w:rsidRDefault="00694074" w:rsidP="00751308">
      <w:pPr>
        <w:spacing w:line="480" w:lineRule="auto"/>
        <w:rPr>
          <w:b/>
          <w:sz w:val="24"/>
          <w:szCs w:val="24"/>
        </w:rPr>
      </w:pPr>
      <w:r w:rsidRPr="00751308">
        <w:rPr>
          <w:b/>
          <w:sz w:val="24"/>
          <w:szCs w:val="24"/>
        </w:rPr>
        <w:t>Critical Element A: Citizenship Status</w:t>
      </w:r>
    </w:p>
    <w:p w:rsidR="00E15D2F" w:rsidRPr="00B051FF" w:rsidRDefault="00E15D2F" w:rsidP="00E15D2F">
      <w:pPr>
        <w:pStyle w:val="ListParagraph"/>
        <w:numPr>
          <w:ilvl w:val="0"/>
          <w:numId w:val="9"/>
        </w:numPr>
        <w:spacing w:line="480" w:lineRule="auto"/>
        <w:rPr>
          <w:rFonts w:ascii="Times New Roman" w:hAnsi="Times New Roman"/>
          <w:sz w:val="24"/>
          <w:szCs w:val="24"/>
        </w:rPr>
      </w:pPr>
      <w:r w:rsidRPr="00B051FF">
        <w:rPr>
          <w:rFonts w:ascii="Times New Roman" w:hAnsi="Times New Roman"/>
          <w:sz w:val="24"/>
          <w:szCs w:val="24"/>
        </w:rPr>
        <w:t xml:space="preserve">Three of the four hackers in the international computer hacking ring were citizens of United States. </w:t>
      </w:r>
    </w:p>
    <w:p w:rsidR="00E15D2F" w:rsidRPr="00B051FF" w:rsidRDefault="00E15D2F" w:rsidP="00E15D2F">
      <w:pPr>
        <w:pStyle w:val="ListParagraph"/>
        <w:numPr>
          <w:ilvl w:val="0"/>
          <w:numId w:val="9"/>
        </w:numPr>
        <w:spacing w:line="480" w:lineRule="auto"/>
        <w:rPr>
          <w:rFonts w:ascii="Times New Roman" w:hAnsi="Times New Roman"/>
          <w:sz w:val="24"/>
          <w:szCs w:val="24"/>
        </w:rPr>
      </w:pPr>
      <w:r w:rsidRPr="00B051FF">
        <w:rPr>
          <w:rFonts w:ascii="Times New Roman" w:hAnsi="Times New Roman"/>
          <w:sz w:val="24"/>
          <w:szCs w:val="24"/>
        </w:rPr>
        <w:t xml:space="preserve">The fourth hacker, David Pokora, was a Canadian citizen. </w:t>
      </w:r>
    </w:p>
    <w:p w:rsidR="00E15D2F" w:rsidRPr="00B051FF" w:rsidRDefault="00E15D2F" w:rsidP="00E15D2F">
      <w:pPr>
        <w:pStyle w:val="ListParagraph"/>
        <w:numPr>
          <w:ilvl w:val="0"/>
          <w:numId w:val="9"/>
        </w:numPr>
        <w:spacing w:line="480" w:lineRule="auto"/>
        <w:rPr>
          <w:rFonts w:ascii="Times New Roman" w:hAnsi="Times New Roman"/>
          <w:color w:val="222222"/>
          <w:sz w:val="24"/>
          <w:szCs w:val="24"/>
          <w:shd w:val="clear" w:color="auto" w:fill="FFFFFF"/>
        </w:rPr>
      </w:pPr>
      <w:r w:rsidRPr="00B051FF">
        <w:rPr>
          <w:rFonts w:ascii="Times New Roman" w:hAnsi="Times New Roman"/>
          <w:color w:val="222222"/>
          <w:sz w:val="24"/>
          <w:szCs w:val="24"/>
          <w:shd w:val="clear" w:color="auto" w:fill="FFFFFF"/>
        </w:rPr>
        <w:t xml:space="preserve">Beckett and Heather, (246) </w:t>
      </w:r>
      <w:r w:rsidRPr="00B051FF">
        <w:rPr>
          <w:rFonts w:ascii="Times New Roman" w:hAnsi="Times New Roman"/>
          <w:sz w:val="24"/>
          <w:szCs w:val="24"/>
        </w:rPr>
        <w:t xml:space="preserve">emphasizes that none of the four hackers had dual citizenship. </w:t>
      </w:r>
    </w:p>
    <w:p w:rsidR="00E15D2F" w:rsidRPr="00B051FF" w:rsidRDefault="00E15D2F" w:rsidP="00E15D2F">
      <w:pPr>
        <w:pStyle w:val="ListParagraph"/>
        <w:numPr>
          <w:ilvl w:val="0"/>
          <w:numId w:val="9"/>
        </w:numPr>
        <w:spacing w:line="480" w:lineRule="auto"/>
        <w:rPr>
          <w:rFonts w:ascii="Times New Roman" w:hAnsi="Times New Roman"/>
          <w:color w:val="222222"/>
          <w:sz w:val="24"/>
          <w:szCs w:val="24"/>
          <w:shd w:val="clear" w:color="auto" w:fill="FFFFFF"/>
        </w:rPr>
      </w:pPr>
      <w:r w:rsidRPr="00B051FF">
        <w:rPr>
          <w:rFonts w:ascii="Times New Roman" w:hAnsi="Times New Roman"/>
          <w:sz w:val="24"/>
          <w:szCs w:val="24"/>
        </w:rPr>
        <w:t xml:space="preserve">The prospect that the individual is not a citizen of US does not affect the ability to adhere to the procedural process. </w:t>
      </w:r>
    </w:p>
    <w:p w:rsidR="00E15D2F" w:rsidRPr="00B051FF" w:rsidRDefault="00E15D2F" w:rsidP="00E15D2F">
      <w:pPr>
        <w:pStyle w:val="ListParagraph"/>
        <w:numPr>
          <w:ilvl w:val="0"/>
          <w:numId w:val="9"/>
        </w:numPr>
        <w:spacing w:line="480" w:lineRule="auto"/>
        <w:rPr>
          <w:rFonts w:ascii="Times New Roman" w:hAnsi="Times New Roman"/>
          <w:color w:val="222222"/>
          <w:sz w:val="24"/>
          <w:szCs w:val="24"/>
          <w:shd w:val="clear" w:color="auto" w:fill="FFFFFF"/>
        </w:rPr>
      </w:pPr>
      <w:r w:rsidRPr="00B051FF">
        <w:rPr>
          <w:rFonts w:ascii="Times New Roman" w:hAnsi="Times New Roman"/>
          <w:sz w:val="24"/>
          <w:szCs w:val="24"/>
        </w:rPr>
        <w:t>In reference to section one of the 14</w:t>
      </w:r>
      <w:r w:rsidRPr="00B051FF">
        <w:rPr>
          <w:rFonts w:ascii="Times New Roman" w:hAnsi="Times New Roman"/>
          <w:sz w:val="24"/>
          <w:szCs w:val="24"/>
          <w:vertAlign w:val="superscript"/>
        </w:rPr>
        <w:t>th</w:t>
      </w:r>
      <w:r w:rsidRPr="00B051FF">
        <w:rPr>
          <w:rFonts w:ascii="Times New Roman" w:hAnsi="Times New Roman"/>
          <w:sz w:val="24"/>
          <w:szCs w:val="24"/>
        </w:rPr>
        <w:t xml:space="preserve"> amendments, there is the emphasis on ensuring that no individual is deprived of life, liberty without the due process of the law. </w:t>
      </w:r>
    </w:p>
    <w:p w:rsidR="00E15D2F" w:rsidRPr="00B051FF" w:rsidRDefault="00E15D2F" w:rsidP="00E15D2F">
      <w:pPr>
        <w:pStyle w:val="ListParagraph"/>
        <w:numPr>
          <w:ilvl w:val="0"/>
          <w:numId w:val="9"/>
        </w:numPr>
        <w:spacing w:line="480" w:lineRule="auto"/>
        <w:rPr>
          <w:rFonts w:ascii="Times New Roman" w:hAnsi="Times New Roman"/>
          <w:color w:val="222222"/>
          <w:sz w:val="24"/>
          <w:szCs w:val="24"/>
          <w:shd w:val="clear" w:color="auto" w:fill="FFFFFF"/>
        </w:rPr>
      </w:pPr>
      <w:r w:rsidRPr="00B051FF">
        <w:rPr>
          <w:rFonts w:ascii="Times New Roman" w:hAnsi="Times New Roman"/>
          <w:i/>
          <w:sz w:val="24"/>
          <w:szCs w:val="24"/>
        </w:rPr>
        <w:t>Rule 11 Pleas</w:t>
      </w:r>
      <w:r w:rsidRPr="00B051FF">
        <w:rPr>
          <w:rFonts w:ascii="Times New Roman" w:hAnsi="Times New Roman"/>
          <w:sz w:val="24"/>
          <w:szCs w:val="24"/>
        </w:rPr>
        <w:t xml:space="preserve"> emphasizes on the procedural process of passing judgment on a non-citizen </w:t>
      </w:r>
      <w:r w:rsidRPr="00B051FF">
        <w:rPr>
          <w:rFonts w:ascii="Times New Roman" w:hAnsi="Times New Roman"/>
          <w:color w:val="222222"/>
          <w:sz w:val="24"/>
          <w:szCs w:val="24"/>
          <w:shd w:val="clear" w:color="auto" w:fill="FFFFFF"/>
        </w:rPr>
        <w:t>(Singer and Friedman, 144)</w:t>
      </w:r>
      <w:r w:rsidRPr="00B051FF">
        <w:rPr>
          <w:rFonts w:ascii="Times New Roman" w:hAnsi="Times New Roman"/>
          <w:sz w:val="24"/>
          <w:szCs w:val="24"/>
        </w:rPr>
        <w:t xml:space="preserve">. </w:t>
      </w:r>
    </w:p>
    <w:p w:rsidR="00E15D2F" w:rsidRPr="00B051FF" w:rsidRDefault="00E15D2F" w:rsidP="00E15D2F">
      <w:pPr>
        <w:pStyle w:val="ListParagraph"/>
        <w:numPr>
          <w:ilvl w:val="0"/>
          <w:numId w:val="9"/>
        </w:numPr>
        <w:spacing w:line="480" w:lineRule="auto"/>
        <w:rPr>
          <w:rFonts w:ascii="Times New Roman" w:hAnsi="Times New Roman"/>
          <w:color w:val="222222"/>
          <w:sz w:val="24"/>
          <w:szCs w:val="24"/>
          <w:shd w:val="clear" w:color="auto" w:fill="FFFFFF"/>
        </w:rPr>
      </w:pPr>
      <w:r w:rsidRPr="00B051FF">
        <w:rPr>
          <w:rFonts w:ascii="Times New Roman" w:hAnsi="Times New Roman"/>
          <w:sz w:val="24"/>
          <w:szCs w:val="24"/>
        </w:rPr>
        <w:t xml:space="preserve">The law states that there should be a subjective and procedural process in handling an individual who is not a citizen of the nation. </w:t>
      </w:r>
    </w:p>
    <w:p w:rsidR="00E15D2F" w:rsidRPr="00751308" w:rsidRDefault="00E15D2F" w:rsidP="00E15D2F">
      <w:pPr>
        <w:spacing w:line="480" w:lineRule="auto"/>
        <w:rPr>
          <w:b/>
          <w:sz w:val="24"/>
          <w:szCs w:val="24"/>
        </w:rPr>
      </w:pPr>
      <w:r w:rsidRPr="00B051FF">
        <w:rPr>
          <w:sz w:val="24"/>
          <w:szCs w:val="24"/>
        </w:rPr>
        <w:t xml:space="preserve">In the criminal conviction process, Pokora can be convicted and either deported or jailed in the US as per the constitution </w:t>
      </w:r>
      <w:r w:rsidRPr="00B051FF">
        <w:rPr>
          <w:color w:val="222222"/>
          <w:sz w:val="24"/>
          <w:szCs w:val="24"/>
          <w:shd w:val="clear" w:color="auto" w:fill="FFFFFF"/>
        </w:rPr>
        <w:t>(Singer and Friedman, 144</w:t>
      </w:r>
    </w:p>
    <w:p w:rsidR="00204F16" w:rsidRPr="00E15D2F" w:rsidRDefault="00694074" w:rsidP="00E15D2F">
      <w:pPr>
        <w:spacing w:line="480" w:lineRule="auto"/>
        <w:rPr>
          <w:color w:val="222222"/>
          <w:sz w:val="24"/>
          <w:szCs w:val="24"/>
          <w:shd w:val="clear" w:color="auto" w:fill="FFFFFF"/>
        </w:rPr>
      </w:pPr>
      <w:r w:rsidRPr="00751308">
        <w:rPr>
          <w:sz w:val="24"/>
          <w:szCs w:val="24"/>
        </w:rPr>
        <w:t xml:space="preserve">From the analysis of the case at hand, three of the four hackers in the international computer hacking ring were United States citizens. On the contrary, the fourth hacker, David Pokora, was the only individuals within the group who was not a citizen of the United States but instead he was a Canadian citizen. Most importantly, </w:t>
      </w:r>
      <w:r w:rsidRPr="00751308">
        <w:rPr>
          <w:color w:val="222222"/>
          <w:sz w:val="24"/>
          <w:szCs w:val="24"/>
          <w:shd w:val="clear" w:color="auto" w:fill="FFFFFF"/>
        </w:rPr>
        <w:t xml:space="preserve">Beckett and Heather, (246) </w:t>
      </w:r>
      <w:r w:rsidRPr="00751308">
        <w:rPr>
          <w:sz w:val="24"/>
          <w:szCs w:val="24"/>
        </w:rPr>
        <w:t xml:space="preserve">reiterates that none of the </w:t>
      </w:r>
      <w:r w:rsidRPr="00751308">
        <w:rPr>
          <w:sz w:val="24"/>
          <w:szCs w:val="24"/>
        </w:rPr>
        <w:lastRenderedPageBreak/>
        <w:t>four hackers had dual citizenship. Therefore, the prospect that the individual is not a citizen of US does not affect the ability to adhere to the procedural process. Accordingly, about section one of the 14</w:t>
      </w:r>
      <w:r w:rsidRPr="00751308">
        <w:rPr>
          <w:sz w:val="24"/>
          <w:szCs w:val="24"/>
          <w:vertAlign w:val="superscript"/>
        </w:rPr>
        <w:t>th</w:t>
      </w:r>
      <w:r w:rsidRPr="00751308">
        <w:rPr>
          <w:sz w:val="24"/>
          <w:szCs w:val="24"/>
        </w:rPr>
        <w:t xml:space="preserve"> amendments, there is the emphasis on ensuring that no individual is deprived of life, liberty without the due process of the law. </w:t>
      </w:r>
      <w:r w:rsidRPr="00751308">
        <w:rPr>
          <w:i/>
          <w:sz w:val="24"/>
          <w:szCs w:val="24"/>
        </w:rPr>
        <w:t>Rule 11 Pleas</w:t>
      </w:r>
      <w:r w:rsidRPr="00751308">
        <w:rPr>
          <w:sz w:val="24"/>
          <w:szCs w:val="24"/>
        </w:rPr>
        <w:t xml:space="preserve"> is a clear stipulation on the need for an elaborate procedural process before passing judgment on a non-citizen </w:t>
      </w:r>
      <w:r w:rsidRPr="00751308">
        <w:rPr>
          <w:color w:val="222222"/>
          <w:sz w:val="24"/>
          <w:szCs w:val="24"/>
          <w:shd w:val="clear" w:color="auto" w:fill="FFFFFF"/>
        </w:rPr>
        <w:t>(Singer and Friedman, 144)</w:t>
      </w:r>
      <w:r w:rsidRPr="00751308">
        <w:rPr>
          <w:sz w:val="24"/>
          <w:szCs w:val="24"/>
        </w:rPr>
        <w:t xml:space="preserve">. The law states that there should be a subjective and procedural process in handling an individual who is not a citizen of the nation. In the criminal conviction process, Pokora can be convicted and either deported or jailed in the US as per the constitution </w:t>
      </w:r>
      <w:r w:rsidRPr="00751308">
        <w:rPr>
          <w:color w:val="222222"/>
          <w:sz w:val="24"/>
          <w:szCs w:val="24"/>
          <w:shd w:val="clear" w:color="auto" w:fill="FFFFFF"/>
        </w:rPr>
        <w:t>(Singer and Friedman, 144)</w:t>
      </w:r>
      <w:r w:rsidRPr="00751308">
        <w:rPr>
          <w:sz w:val="24"/>
          <w:szCs w:val="24"/>
        </w:rPr>
        <w:t xml:space="preserve">. </w:t>
      </w:r>
    </w:p>
    <w:p w:rsidR="00204F16" w:rsidRDefault="00694074" w:rsidP="00751308">
      <w:pPr>
        <w:spacing w:after="200" w:line="480" w:lineRule="auto"/>
        <w:rPr>
          <w:b/>
          <w:sz w:val="24"/>
          <w:szCs w:val="24"/>
        </w:rPr>
      </w:pPr>
      <w:r w:rsidRPr="00751308">
        <w:rPr>
          <w:b/>
          <w:sz w:val="24"/>
          <w:szCs w:val="24"/>
        </w:rPr>
        <w:t xml:space="preserve">Critical Element B: Apprehend and Charges </w:t>
      </w:r>
    </w:p>
    <w:p w:rsidR="00E15D2F" w:rsidRPr="00B051FF" w:rsidRDefault="00E15D2F" w:rsidP="00E15D2F">
      <w:pPr>
        <w:pStyle w:val="ListParagraph"/>
        <w:numPr>
          <w:ilvl w:val="0"/>
          <w:numId w:val="8"/>
        </w:numPr>
        <w:spacing w:line="480" w:lineRule="auto"/>
        <w:rPr>
          <w:rFonts w:ascii="Times New Roman" w:hAnsi="Times New Roman"/>
          <w:sz w:val="24"/>
          <w:szCs w:val="24"/>
        </w:rPr>
      </w:pPr>
      <w:r w:rsidRPr="00B051FF">
        <w:rPr>
          <w:rFonts w:ascii="Times New Roman" w:hAnsi="Times New Roman"/>
          <w:sz w:val="24"/>
          <w:szCs w:val="24"/>
        </w:rPr>
        <w:t xml:space="preserve">There is the need for the investigation process to prevail through collaboration between the Canadian and US authorities. </w:t>
      </w:r>
    </w:p>
    <w:p w:rsidR="00E15D2F" w:rsidRPr="00B051FF" w:rsidRDefault="00E15D2F" w:rsidP="00E15D2F">
      <w:pPr>
        <w:pStyle w:val="ListParagraph"/>
        <w:numPr>
          <w:ilvl w:val="0"/>
          <w:numId w:val="8"/>
        </w:numPr>
        <w:spacing w:line="480" w:lineRule="auto"/>
        <w:rPr>
          <w:rFonts w:ascii="Times New Roman" w:hAnsi="Times New Roman"/>
          <w:sz w:val="24"/>
          <w:szCs w:val="24"/>
        </w:rPr>
      </w:pPr>
      <w:r w:rsidRPr="00B051FF">
        <w:rPr>
          <w:rFonts w:ascii="Times New Roman" w:hAnsi="Times New Roman"/>
          <w:sz w:val="24"/>
          <w:szCs w:val="24"/>
        </w:rPr>
        <w:t xml:space="preserve">The Canadian authorities have the right to carry out all the necessary investigations, and their jurisdiction supersedes that of the US authority. </w:t>
      </w:r>
    </w:p>
    <w:p w:rsidR="00E15D2F" w:rsidRPr="00E15D2F" w:rsidRDefault="00E15D2F" w:rsidP="00E15D2F">
      <w:pPr>
        <w:pStyle w:val="ListParagraph"/>
        <w:numPr>
          <w:ilvl w:val="0"/>
          <w:numId w:val="8"/>
        </w:numPr>
        <w:spacing w:line="480" w:lineRule="auto"/>
        <w:rPr>
          <w:rFonts w:ascii="Times New Roman" w:hAnsi="Times New Roman"/>
          <w:color w:val="222222"/>
          <w:sz w:val="24"/>
          <w:szCs w:val="24"/>
          <w:shd w:val="clear" w:color="auto" w:fill="FFFFFF"/>
        </w:rPr>
      </w:pPr>
      <w:r w:rsidRPr="00B051FF">
        <w:rPr>
          <w:rFonts w:ascii="Times New Roman" w:hAnsi="Times New Roman"/>
          <w:sz w:val="24"/>
          <w:szCs w:val="24"/>
        </w:rPr>
        <w:t>It is only through collaboration and establishment of a way forward in the investigation process can successful outcomes prevail (</w:t>
      </w:r>
      <w:r w:rsidRPr="00B051FF">
        <w:rPr>
          <w:rFonts w:ascii="Times New Roman" w:hAnsi="Times New Roman"/>
          <w:color w:val="222222"/>
          <w:sz w:val="24"/>
          <w:szCs w:val="24"/>
          <w:shd w:val="clear" w:color="auto" w:fill="FFFFFF"/>
        </w:rPr>
        <w:t>Beckett and Heather, 246)</w:t>
      </w:r>
      <w:r w:rsidRPr="00B051FF">
        <w:rPr>
          <w:rFonts w:ascii="Times New Roman" w:hAnsi="Times New Roman"/>
          <w:sz w:val="24"/>
          <w:szCs w:val="24"/>
        </w:rPr>
        <w:t xml:space="preserve">. </w:t>
      </w:r>
    </w:p>
    <w:p w:rsidR="002D577C" w:rsidRPr="00751308" w:rsidRDefault="00694074" w:rsidP="00751308">
      <w:pPr>
        <w:spacing w:after="200" w:line="480" w:lineRule="auto"/>
        <w:rPr>
          <w:b/>
          <w:sz w:val="24"/>
          <w:szCs w:val="24"/>
        </w:rPr>
      </w:pPr>
      <w:r w:rsidRPr="00751308">
        <w:rPr>
          <w:sz w:val="24"/>
          <w:szCs w:val="24"/>
        </w:rPr>
        <w:t xml:space="preserve">With regards to citizenship, the location of the individual is of the essence before the execution of an arrest and subsequent charges. From the analysis of David, Pokor was from Mississauga, Ontario Canada and at the time of his arrest, he was attempting to cross the border. As such, the individual was prosecuted in Delaware after being interviewed there was the successful subsequent arrest of the four hackers. In the period of his detention, Pokora was attempting to cross into the United States at the Lewiston-Queenston Bridge in Niagra. Being in another </w:t>
      </w:r>
      <w:r w:rsidRPr="00751308">
        <w:rPr>
          <w:sz w:val="24"/>
          <w:szCs w:val="24"/>
        </w:rPr>
        <w:lastRenderedPageBreak/>
        <w:t xml:space="preserve">jurisdiction the basis in which to bring hacking charges against him could not materialize since he was arrested in another jurisdiction which warranted the issuance of extradition orders. </w:t>
      </w:r>
    </w:p>
    <w:p w:rsidR="002D577C" w:rsidRDefault="00204F16" w:rsidP="00751308">
      <w:pPr>
        <w:spacing w:line="480" w:lineRule="auto"/>
        <w:rPr>
          <w:b/>
          <w:sz w:val="24"/>
          <w:szCs w:val="24"/>
        </w:rPr>
      </w:pPr>
      <w:r>
        <w:rPr>
          <w:b/>
          <w:sz w:val="24"/>
          <w:szCs w:val="24"/>
        </w:rPr>
        <w:t>Critical Element C: C</w:t>
      </w:r>
      <w:r w:rsidR="00694074" w:rsidRPr="00751308">
        <w:rPr>
          <w:b/>
          <w:sz w:val="24"/>
          <w:szCs w:val="24"/>
        </w:rPr>
        <w:t xml:space="preserve">riminal reside at the time that the crime was committed? </w:t>
      </w:r>
    </w:p>
    <w:p w:rsidR="00E15D2F" w:rsidRDefault="00E15D2F" w:rsidP="00E15D2F">
      <w:pPr>
        <w:pStyle w:val="ListParagraph"/>
        <w:numPr>
          <w:ilvl w:val="0"/>
          <w:numId w:val="7"/>
        </w:numPr>
        <w:spacing w:line="480" w:lineRule="auto"/>
        <w:rPr>
          <w:rFonts w:ascii="Times New Roman" w:hAnsi="Times New Roman"/>
          <w:sz w:val="24"/>
          <w:szCs w:val="24"/>
        </w:rPr>
      </w:pPr>
      <w:r w:rsidRPr="00B051FF">
        <w:rPr>
          <w:rFonts w:ascii="Times New Roman" w:hAnsi="Times New Roman"/>
          <w:sz w:val="24"/>
          <w:szCs w:val="24"/>
        </w:rPr>
        <w:t xml:space="preserve">In the process of committing the crime, Pokora was living Ontario Canada. </w:t>
      </w:r>
    </w:p>
    <w:p w:rsidR="00E15D2F" w:rsidRDefault="00E15D2F" w:rsidP="00E15D2F">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H</w:t>
      </w:r>
      <w:r w:rsidRPr="00B051FF">
        <w:rPr>
          <w:rFonts w:ascii="Times New Roman" w:hAnsi="Times New Roman"/>
          <w:sz w:val="24"/>
          <w:szCs w:val="24"/>
        </w:rPr>
        <w:t>e was a student at the University of Toronto</w:t>
      </w:r>
      <w:r>
        <w:rPr>
          <w:rFonts w:ascii="Times New Roman" w:hAnsi="Times New Roman"/>
          <w:sz w:val="24"/>
          <w:szCs w:val="24"/>
        </w:rPr>
        <w:t xml:space="preserve"> w</w:t>
      </w:r>
      <w:r w:rsidRPr="00B051FF">
        <w:rPr>
          <w:rFonts w:ascii="Times New Roman" w:hAnsi="Times New Roman"/>
          <w:sz w:val="24"/>
          <w:szCs w:val="24"/>
        </w:rPr>
        <w:t>ith extensive knowledge in hacking</w:t>
      </w:r>
      <w:r>
        <w:rPr>
          <w:rFonts w:ascii="Times New Roman" w:hAnsi="Times New Roman"/>
          <w:sz w:val="24"/>
          <w:szCs w:val="24"/>
        </w:rPr>
        <w:t xml:space="preserve">. </w:t>
      </w:r>
    </w:p>
    <w:p w:rsidR="00E15D2F" w:rsidRDefault="00E15D2F" w:rsidP="00E15D2F">
      <w:pPr>
        <w:pStyle w:val="ListParagraph"/>
        <w:numPr>
          <w:ilvl w:val="0"/>
          <w:numId w:val="7"/>
        </w:numPr>
        <w:spacing w:line="480" w:lineRule="auto"/>
        <w:rPr>
          <w:rFonts w:ascii="Times New Roman" w:hAnsi="Times New Roman"/>
          <w:sz w:val="24"/>
          <w:szCs w:val="24"/>
        </w:rPr>
      </w:pPr>
      <w:r>
        <w:rPr>
          <w:rFonts w:ascii="Times New Roman" w:hAnsi="Times New Roman"/>
          <w:sz w:val="24"/>
          <w:szCs w:val="24"/>
        </w:rPr>
        <w:t>T</w:t>
      </w:r>
      <w:r w:rsidRPr="00B051FF">
        <w:rPr>
          <w:rFonts w:ascii="Times New Roman" w:hAnsi="Times New Roman"/>
          <w:sz w:val="24"/>
          <w:szCs w:val="24"/>
        </w:rPr>
        <w:t xml:space="preserve">he individual managed to partner with his other perpetrators. </w:t>
      </w:r>
    </w:p>
    <w:p w:rsidR="00E15D2F" w:rsidRPr="00E15D2F" w:rsidRDefault="00E15D2F" w:rsidP="00751308">
      <w:pPr>
        <w:pStyle w:val="ListParagraph"/>
        <w:numPr>
          <w:ilvl w:val="0"/>
          <w:numId w:val="7"/>
        </w:numPr>
        <w:spacing w:line="480" w:lineRule="auto"/>
        <w:rPr>
          <w:rFonts w:ascii="Times New Roman" w:hAnsi="Times New Roman"/>
          <w:sz w:val="24"/>
          <w:szCs w:val="24"/>
        </w:rPr>
      </w:pPr>
      <w:r w:rsidRPr="00B051FF">
        <w:rPr>
          <w:rFonts w:ascii="Times New Roman" w:hAnsi="Times New Roman"/>
          <w:color w:val="222222"/>
          <w:sz w:val="24"/>
          <w:szCs w:val="24"/>
          <w:shd w:val="clear" w:color="auto" w:fill="FFFFFF"/>
        </w:rPr>
        <w:t>Zedner, (46)</w:t>
      </w:r>
      <w:r w:rsidRPr="00B051FF">
        <w:rPr>
          <w:rFonts w:ascii="Times New Roman" w:hAnsi="Times New Roman"/>
          <w:sz w:val="24"/>
          <w:szCs w:val="24"/>
        </w:rPr>
        <w:t xml:space="preserve"> emphasizes that Pokora was seen as the ringleader in the hacking activity.</w:t>
      </w:r>
    </w:p>
    <w:p w:rsidR="00E15D2F" w:rsidRDefault="00694074" w:rsidP="00751308">
      <w:pPr>
        <w:spacing w:line="480" w:lineRule="auto"/>
        <w:rPr>
          <w:sz w:val="24"/>
          <w:szCs w:val="24"/>
        </w:rPr>
      </w:pPr>
      <w:r w:rsidRPr="00751308">
        <w:rPr>
          <w:sz w:val="24"/>
          <w:szCs w:val="24"/>
        </w:rPr>
        <w:t xml:space="preserve">In the process of having committed the crime, Pokora was living Ontario Canada. As such, he was a student at the University of Toronto. With extensive knowledge in hacking, the individual managed to partner with his other perpetrators. </w:t>
      </w:r>
      <w:r w:rsidRPr="00751308">
        <w:rPr>
          <w:color w:val="222222"/>
          <w:sz w:val="24"/>
          <w:szCs w:val="24"/>
          <w:shd w:val="clear" w:color="auto" w:fill="FFFFFF"/>
        </w:rPr>
        <w:t>Zedner, (46)</w:t>
      </w:r>
      <w:r w:rsidRPr="00751308">
        <w:rPr>
          <w:sz w:val="24"/>
          <w:szCs w:val="24"/>
        </w:rPr>
        <w:t xml:space="preserve"> opines that Pokora was perceived to be more of the ringleader in the hacking collective. There need for the investigation process was paramount to prevail through collaboration between the Canadian and US authorities. The Canadian authorities had the right to carry out all the necessary investigations, and their jurisdiction superseded that of the US power owing to the territory in which the crime took place. Hence, only through collaboration and establishment of a way forward in the investigation process can successful outcomes prevail (</w:t>
      </w:r>
      <w:r w:rsidRPr="00751308">
        <w:rPr>
          <w:color w:val="222222"/>
          <w:sz w:val="24"/>
          <w:szCs w:val="24"/>
          <w:shd w:val="clear" w:color="auto" w:fill="FFFFFF"/>
        </w:rPr>
        <w:t>Beckett and Heather, 246)</w:t>
      </w:r>
      <w:r w:rsidRPr="00751308">
        <w:rPr>
          <w:sz w:val="24"/>
          <w:szCs w:val="24"/>
        </w:rPr>
        <w:t xml:space="preserve">.  Furthermore, the place of residence of the commission of the crime had a huge impact on the way in which the US could get to investigate the matter in details since no US court can order the seizure of items that could be essential as evidence of the crime in question.   </w:t>
      </w:r>
    </w:p>
    <w:p w:rsidR="00E15D2F" w:rsidRDefault="00E15D2F" w:rsidP="00751308">
      <w:pPr>
        <w:spacing w:line="480" w:lineRule="auto"/>
        <w:rPr>
          <w:b/>
          <w:sz w:val="24"/>
          <w:szCs w:val="24"/>
        </w:rPr>
      </w:pPr>
    </w:p>
    <w:p w:rsidR="002D577C" w:rsidRDefault="00694074" w:rsidP="00751308">
      <w:pPr>
        <w:spacing w:line="480" w:lineRule="auto"/>
        <w:rPr>
          <w:b/>
          <w:sz w:val="24"/>
          <w:szCs w:val="24"/>
        </w:rPr>
      </w:pPr>
      <w:r w:rsidRPr="00751308">
        <w:rPr>
          <w:b/>
          <w:sz w:val="24"/>
          <w:szCs w:val="24"/>
        </w:rPr>
        <w:t>Critical Element D: Law Violated and Consequences</w:t>
      </w:r>
    </w:p>
    <w:p w:rsidR="00E15D2F" w:rsidRPr="00B051FF" w:rsidRDefault="00E15D2F" w:rsidP="00E15D2F">
      <w:pPr>
        <w:pStyle w:val="ListParagraph"/>
        <w:numPr>
          <w:ilvl w:val="0"/>
          <w:numId w:val="6"/>
        </w:numPr>
        <w:spacing w:line="480" w:lineRule="auto"/>
        <w:rPr>
          <w:rFonts w:ascii="Times New Roman" w:hAnsi="Times New Roman"/>
          <w:sz w:val="24"/>
          <w:szCs w:val="24"/>
        </w:rPr>
      </w:pPr>
      <w:r w:rsidRPr="00B051FF">
        <w:rPr>
          <w:rFonts w:ascii="Times New Roman" w:hAnsi="Times New Roman"/>
          <w:sz w:val="24"/>
          <w:szCs w:val="24"/>
        </w:rPr>
        <w:lastRenderedPageBreak/>
        <w:t>Across the US, the constitution plays a fundamental role in determining the legislative process. Accordingly, the US code 3181 is effective in establishing the legal process in the instance that a non-citizen commits a crime (</w:t>
      </w:r>
      <w:r w:rsidRPr="00B051FF">
        <w:rPr>
          <w:rFonts w:ascii="Times New Roman" w:hAnsi="Times New Roman"/>
          <w:color w:val="222222"/>
          <w:sz w:val="24"/>
          <w:szCs w:val="24"/>
          <w:shd w:val="clear" w:color="auto" w:fill="FFFFFF"/>
        </w:rPr>
        <w:t>Zedner, 46)</w:t>
      </w:r>
      <w:r w:rsidRPr="00B051FF">
        <w:rPr>
          <w:rFonts w:ascii="Times New Roman" w:hAnsi="Times New Roman"/>
          <w:sz w:val="24"/>
          <w:szCs w:val="24"/>
        </w:rPr>
        <w:t xml:space="preserve">. </w:t>
      </w:r>
    </w:p>
    <w:p w:rsidR="00E15D2F" w:rsidRPr="00B051FF" w:rsidRDefault="00E15D2F" w:rsidP="00E15D2F">
      <w:pPr>
        <w:pStyle w:val="ListParagraph"/>
        <w:numPr>
          <w:ilvl w:val="0"/>
          <w:numId w:val="6"/>
        </w:numPr>
        <w:spacing w:line="480" w:lineRule="auto"/>
        <w:rPr>
          <w:rFonts w:ascii="Times New Roman" w:hAnsi="Times New Roman"/>
          <w:sz w:val="24"/>
          <w:szCs w:val="24"/>
        </w:rPr>
      </w:pPr>
      <w:r w:rsidRPr="00B051FF">
        <w:rPr>
          <w:rFonts w:ascii="Times New Roman" w:hAnsi="Times New Roman"/>
          <w:sz w:val="24"/>
          <w:szCs w:val="24"/>
        </w:rPr>
        <w:t xml:space="preserve">In the case, there was the violation of section 16, whereby the Pokora ought to have been handed in by the Canadian authorities at the border. </w:t>
      </w:r>
    </w:p>
    <w:p w:rsidR="00E15D2F" w:rsidRPr="00B051FF" w:rsidRDefault="00E15D2F" w:rsidP="00E15D2F">
      <w:pPr>
        <w:pStyle w:val="ListParagraph"/>
        <w:numPr>
          <w:ilvl w:val="0"/>
          <w:numId w:val="6"/>
        </w:numPr>
        <w:spacing w:line="480" w:lineRule="auto"/>
        <w:rPr>
          <w:rFonts w:ascii="Times New Roman" w:hAnsi="Times New Roman"/>
          <w:sz w:val="24"/>
          <w:szCs w:val="24"/>
        </w:rPr>
      </w:pPr>
      <w:r w:rsidRPr="00B051FF">
        <w:rPr>
          <w:rFonts w:ascii="Times New Roman" w:hAnsi="Times New Roman"/>
          <w:sz w:val="24"/>
          <w:szCs w:val="24"/>
        </w:rPr>
        <w:t xml:space="preserve">The US authorities crossed the border to capture the individual. </w:t>
      </w:r>
    </w:p>
    <w:p w:rsidR="00E15D2F" w:rsidRPr="00E15D2F" w:rsidRDefault="00E15D2F" w:rsidP="00751308">
      <w:pPr>
        <w:pStyle w:val="ListParagraph"/>
        <w:numPr>
          <w:ilvl w:val="0"/>
          <w:numId w:val="6"/>
        </w:numPr>
        <w:spacing w:line="480" w:lineRule="auto"/>
        <w:rPr>
          <w:rFonts w:ascii="Times New Roman" w:hAnsi="Times New Roman"/>
          <w:sz w:val="24"/>
          <w:szCs w:val="24"/>
        </w:rPr>
      </w:pPr>
      <w:r w:rsidRPr="00B051FF">
        <w:rPr>
          <w:rFonts w:ascii="Times New Roman" w:hAnsi="Times New Roman"/>
          <w:sz w:val="24"/>
          <w:szCs w:val="24"/>
        </w:rPr>
        <w:t xml:space="preserve">On the other hand, the international law that was violated is in regards to the due process to arrest a person in an extraterritorial manner (Eagly, 147). </w:t>
      </w:r>
    </w:p>
    <w:p w:rsidR="00E15D2F" w:rsidRPr="004F0006" w:rsidRDefault="00E15D2F" w:rsidP="00E15D2F">
      <w:pPr>
        <w:pStyle w:val="ListParagraph"/>
        <w:numPr>
          <w:ilvl w:val="0"/>
          <w:numId w:val="5"/>
        </w:numPr>
        <w:spacing w:line="480" w:lineRule="auto"/>
        <w:rPr>
          <w:rFonts w:ascii="Times New Roman" w:hAnsi="Times New Roman"/>
          <w:color w:val="222222"/>
          <w:sz w:val="24"/>
          <w:szCs w:val="24"/>
          <w:shd w:val="clear" w:color="auto" w:fill="FFFFFF"/>
        </w:rPr>
      </w:pPr>
      <w:r w:rsidRPr="004F0006">
        <w:rPr>
          <w:rFonts w:ascii="Times New Roman" w:hAnsi="Times New Roman"/>
          <w:sz w:val="24"/>
          <w:szCs w:val="24"/>
        </w:rPr>
        <w:t xml:space="preserve">The individuals were charged with theft of proprietary information and committing fraud by stealing software with a focus on developing a duplicate copy for sale. </w:t>
      </w:r>
    </w:p>
    <w:p w:rsidR="00E15D2F" w:rsidRPr="004F0006" w:rsidRDefault="00E15D2F" w:rsidP="00E15D2F">
      <w:pPr>
        <w:pStyle w:val="ListParagraph"/>
        <w:numPr>
          <w:ilvl w:val="0"/>
          <w:numId w:val="5"/>
        </w:numPr>
        <w:spacing w:line="480" w:lineRule="auto"/>
        <w:rPr>
          <w:rFonts w:ascii="Times New Roman" w:hAnsi="Times New Roman"/>
          <w:color w:val="222222"/>
          <w:sz w:val="24"/>
          <w:szCs w:val="24"/>
          <w:shd w:val="clear" w:color="auto" w:fill="FFFFFF"/>
        </w:rPr>
      </w:pPr>
      <w:r w:rsidRPr="004F0006">
        <w:rPr>
          <w:rFonts w:ascii="Times New Roman" w:hAnsi="Times New Roman"/>
          <w:sz w:val="24"/>
          <w:szCs w:val="24"/>
        </w:rPr>
        <w:t xml:space="preserve">Their crime, under the US constitution, attracts a maximum jail term of five years </w:t>
      </w:r>
      <w:r w:rsidRPr="004F0006">
        <w:rPr>
          <w:rFonts w:ascii="Times New Roman" w:hAnsi="Times New Roman"/>
          <w:color w:val="222222"/>
          <w:sz w:val="24"/>
          <w:szCs w:val="24"/>
          <w:shd w:val="clear" w:color="auto" w:fill="FFFFFF"/>
        </w:rPr>
        <w:t>(Snow, 205)</w:t>
      </w:r>
      <w:r w:rsidRPr="004F0006">
        <w:rPr>
          <w:rFonts w:ascii="Times New Roman" w:hAnsi="Times New Roman"/>
          <w:sz w:val="24"/>
          <w:szCs w:val="24"/>
        </w:rPr>
        <w:t xml:space="preserve">. </w:t>
      </w:r>
    </w:p>
    <w:p w:rsidR="00E7754F" w:rsidRPr="00751308" w:rsidRDefault="00694074" w:rsidP="00751308">
      <w:pPr>
        <w:spacing w:line="480" w:lineRule="auto"/>
        <w:rPr>
          <w:sz w:val="24"/>
          <w:szCs w:val="24"/>
        </w:rPr>
      </w:pPr>
      <w:r w:rsidRPr="00751308">
        <w:rPr>
          <w:sz w:val="24"/>
          <w:szCs w:val="24"/>
        </w:rPr>
        <w:t>Across the US, the constitution plays a fundamental role in determining the legislative process. Accordingly, the US code 3181 is valid in establishing the legal process in the instance that a non-citizen commits a crime (</w:t>
      </w:r>
      <w:r w:rsidRPr="00751308">
        <w:rPr>
          <w:color w:val="222222"/>
          <w:sz w:val="24"/>
          <w:szCs w:val="24"/>
          <w:shd w:val="clear" w:color="auto" w:fill="FFFFFF"/>
        </w:rPr>
        <w:t>Zedner, 46)</w:t>
      </w:r>
      <w:r w:rsidRPr="00751308">
        <w:rPr>
          <w:sz w:val="24"/>
          <w:szCs w:val="24"/>
        </w:rPr>
        <w:t xml:space="preserve">. As such, in the case, there was the violation of section 16 whereby the Pokora ought to have been handed in by the Canadian authorities at the border. The US authorities crossed the border to capture the individual. On the contrary, the international law that was violated is in regards to the due process to arrest a person in an extraterritorial manner (Eagly, 147). The reason is the need to abide by the UN ratification stipulating national sovereignty. Thus, the US cannot make the order on issues that were done in another jurisdiction like Canada in this case.  </w:t>
      </w:r>
    </w:p>
    <w:p w:rsidR="00E15D2F" w:rsidRDefault="00E15D2F" w:rsidP="00751308">
      <w:pPr>
        <w:spacing w:line="480" w:lineRule="auto"/>
        <w:rPr>
          <w:b/>
          <w:sz w:val="24"/>
          <w:szCs w:val="24"/>
        </w:rPr>
      </w:pPr>
    </w:p>
    <w:p w:rsidR="003B46E4" w:rsidRPr="00751308" w:rsidRDefault="00694074" w:rsidP="00751308">
      <w:pPr>
        <w:spacing w:line="480" w:lineRule="auto"/>
        <w:rPr>
          <w:b/>
          <w:sz w:val="24"/>
          <w:szCs w:val="24"/>
        </w:rPr>
      </w:pPr>
      <w:r w:rsidRPr="00751308">
        <w:rPr>
          <w:b/>
          <w:sz w:val="24"/>
          <w:szCs w:val="24"/>
        </w:rPr>
        <w:t>Crimes Charged within the US</w:t>
      </w:r>
    </w:p>
    <w:p w:rsidR="002D577C" w:rsidRPr="00751308" w:rsidRDefault="00694074" w:rsidP="00751308">
      <w:pPr>
        <w:spacing w:line="480" w:lineRule="auto"/>
        <w:rPr>
          <w:sz w:val="24"/>
          <w:szCs w:val="24"/>
        </w:rPr>
      </w:pPr>
      <w:r w:rsidRPr="00751308">
        <w:rPr>
          <w:sz w:val="24"/>
          <w:szCs w:val="24"/>
        </w:rPr>
        <w:lastRenderedPageBreak/>
        <w:t xml:space="preserve">Pokora along with the other co-accused persons was accused of the conspiracy to commit computer and copyright infringement. In this regard, the individuals stole the software with a focus on developing a duplicate copy for sale. Their crime, under the US constitution, attracts a maximum jail term of five years </w:t>
      </w:r>
      <w:r w:rsidRPr="00751308">
        <w:rPr>
          <w:color w:val="222222"/>
          <w:sz w:val="24"/>
          <w:szCs w:val="24"/>
          <w:shd w:val="clear" w:color="auto" w:fill="FFFFFF"/>
        </w:rPr>
        <w:t>(Snow, 205)</w:t>
      </w:r>
      <w:r w:rsidRPr="00751308">
        <w:rPr>
          <w:sz w:val="24"/>
          <w:szCs w:val="24"/>
        </w:rPr>
        <w:t xml:space="preserve">. </w:t>
      </w:r>
    </w:p>
    <w:p w:rsidR="003B46E4" w:rsidRPr="00751308" w:rsidRDefault="00694074" w:rsidP="00751308">
      <w:pPr>
        <w:spacing w:line="480" w:lineRule="auto"/>
        <w:rPr>
          <w:b/>
          <w:sz w:val="24"/>
          <w:szCs w:val="24"/>
        </w:rPr>
      </w:pPr>
      <w:r w:rsidRPr="00751308">
        <w:rPr>
          <w:b/>
          <w:sz w:val="24"/>
          <w:szCs w:val="24"/>
        </w:rPr>
        <w:t>Associated consequences of the offense</w:t>
      </w:r>
    </w:p>
    <w:p w:rsidR="00204F16" w:rsidRDefault="00694074" w:rsidP="00204F16">
      <w:pPr>
        <w:spacing w:line="480" w:lineRule="auto"/>
        <w:rPr>
          <w:sz w:val="24"/>
          <w:szCs w:val="24"/>
        </w:rPr>
      </w:pPr>
      <w:r w:rsidRPr="00751308">
        <w:rPr>
          <w:sz w:val="24"/>
          <w:szCs w:val="24"/>
        </w:rPr>
        <w:t xml:space="preserve">The probable consequences that are associated with the intellectual property rights copyright infringement include a fine and imprisonment of a term of up to ten years. Regardless of the whether there was financial gain; there is a liability of a criminal liability of three years imprisonment.   </w:t>
      </w:r>
      <w:r w:rsidRPr="00751308">
        <w:rPr>
          <w:sz w:val="24"/>
          <w:szCs w:val="24"/>
        </w:rPr>
        <w:br w:type="page"/>
      </w:r>
    </w:p>
    <w:p w:rsidR="00204F16" w:rsidRDefault="00204F16" w:rsidP="00204F16">
      <w:pPr>
        <w:spacing w:line="480" w:lineRule="auto"/>
        <w:rPr>
          <w:sz w:val="24"/>
          <w:szCs w:val="24"/>
        </w:rPr>
      </w:pPr>
    </w:p>
    <w:p w:rsidR="002D577C" w:rsidRPr="00751308" w:rsidRDefault="00694074" w:rsidP="00204F16">
      <w:pPr>
        <w:spacing w:line="480" w:lineRule="auto"/>
        <w:jc w:val="center"/>
        <w:rPr>
          <w:b/>
          <w:sz w:val="24"/>
          <w:szCs w:val="24"/>
        </w:rPr>
      </w:pPr>
      <w:r w:rsidRPr="00751308">
        <w:rPr>
          <w:b/>
          <w:sz w:val="24"/>
          <w:szCs w:val="24"/>
        </w:rPr>
        <w:t>Work cited</w:t>
      </w:r>
    </w:p>
    <w:p w:rsidR="002D577C" w:rsidRPr="00751308" w:rsidRDefault="00694074" w:rsidP="00204F16">
      <w:pPr>
        <w:spacing w:line="480" w:lineRule="auto"/>
        <w:rPr>
          <w:color w:val="222222"/>
          <w:sz w:val="24"/>
          <w:szCs w:val="24"/>
          <w:shd w:val="clear" w:color="auto" w:fill="FFFFFF"/>
        </w:rPr>
      </w:pPr>
      <w:r w:rsidRPr="00751308">
        <w:rPr>
          <w:color w:val="222222"/>
          <w:sz w:val="24"/>
          <w:szCs w:val="24"/>
          <w:shd w:val="clear" w:color="auto" w:fill="FFFFFF"/>
        </w:rPr>
        <w:t>Beckett, Katherine, and Heather Evans. "Crimmigration at the local level: Criminal justice processes in the shadow of deportation."</w:t>
      </w:r>
      <w:r w:rsidRPr="00751308">
        <w:rPr>
          <w:rStyle w:val="apple-converted-space"/>
          <w:color w:val="222222"/>
          <w:sz w:val="24"/>
          <w:szCs w:val="24"/>
          <w:shd w:val="clear" w:color="auto" w:fill="FFFFFF"/>
        </w:rPr>
        <w:t> </w:t>
      </w:r>
      <w:r w:rsidRPr="00751308">
        <w:rPr>
          <w:i/>
          <w:iCs/>
          <w:color w:val="222222"/>
          <w:sz w:val="24"/>
          <w:szCs w:val="24"/>
          <w:shd w:val="clear" w:color="auto" w:fill="FFFFFF"/>
        </w:rPr>
        <w:t>Law &amp; Society Review</w:t>
      </w:r>
      <w:r w:rsidRPr="00751308">
        <w:rPr>
          <w:rStyle w:val="apple-converted-space"/>
          <w:color w:val="222222"/>
          <w:sz w:val="24"/>
          <w:szCs w:val="24"/>
          <w:shd w:val="clear" w:color="auto" w:fill="FFFFFF"/>
        </w:rPr>
        <w:t> </w:t>
      </w:r>
      <w:r w:rsidRPr="00751308">
        <w:rPr>
          <w:color w:val="222222"/>
          <w:sz w:val="24"/>
          <w:szCs w:val="24"/>
          <w:shd w:val="clear" w:color="auto" w:fill="FFFFFF"/>
        </w:rPr>
        <w:t>49.1 (2015): 241-277.</w:t>
      </w:r>
    </w:p>
    <w:p w:rsidR="002D577C" w:rsidRPr="00751308" w:rsidRDefault="00694074" w:rsidP="00751308">
      <w:pPr>
        <w:spacing w:line="480" w:lineRule="auto"/>
        <w:ind w:left="720" w:hanging="720"/>
        <w:rPr>
          <w:sz w:val="24"/>
          <w:szCs w:val="24"/>
        </w:rPr>
      </w:pPr>
      <w:r w:rsidRPr="00751308">
        <w:rPr>
          <w:color w:val="222222"/>
          <w:sz w:val="24"/>
          <w:szCs w:val="24"/>
          <w:shd w:val="clear" w:color="auto" w:fill="FFFFFF"/>
        </w:rPr>
        <w:t>Eagly, I. V. Criminal justice for noncitizens: an analysis of variation in local enforcement.</w:t>
      </w:r>
      <w:r w:rsidRPr="00751308">
        <w:rPr>
          <w:i/>
          <w:color w:val="222222"/>
          <w:sz w:val="24"/>
          <w:szCs w:val="24"/>
          <w:shd w:val="clear" w:color="auto" w:fill="FFFFFF"/>
        </w:rPr>
        <w:t>New York University Law Review. (2013)</w:t>
      </w:r>
      <w:r w:rsidRPr="00751308">
        <w:rPr>
          <w:color w:val="222222"/>
          <w:sz w:val="24"/>
          <w:szCs w:val="24"/>
          <w:shd w:val="clear" w:color="auto" w:fill="FFFFFF"/>
        </w:rPr>
        <w:t xml:space="preserve">: Retrieved from </w:t>
      </w:r>
      <w:r w:rsidRPr="00961073">
        <w:rPr>
          <w:sz w:val="24"/>
          <w:szCs w:val="24"/>
        </w:rPr>
        <w:t>https://www.law.cornell.edu/uscode/text/18/1030</w:t>
      </w:r>
    </w:p>
    <w:p w:rsidR="002D577C" w:rsidRPr="00751308" w:rsidRDefault="00694074" w:rsidP="00751308">
      <w:pPr>
        <w:spacing w:line="480" w:lineRule="auto"/>
        <w:ind w:left="720" w:hanging="720"/>
        <w:rPr>
          <w:color w:val="222222"/>
          <w:sz w:val="24"/>
          <w:szCs w:val="24"/>
          <w:shd w:val="clear" w:color="auto" w:fill="FFFFFF"/>
        </w:rPr>
      </w:pPr>
      <w:r w:rsidRPr="00751308">
        <w:rPr>
          <w:color w:val="222222"/>
          <w:sz w:val="24"/>
          <w:szCs w:val="24"/>
          <w:shd w:val="clear" w:color="auto" w:fill="FFFFFF"/>
        </w:rPr>
        <w:t>Singer, P. W., and Friedman, A.</w:t>
      </w:r>
      <w:r w:rsidRPr="00751308">
        <w:rPr>
          <w:rStyle w:val="apple-converted-space"/>
          <w:color w:val="222222"/>
          <w:sz w:val="24"/>
          <w:szCs w:val="24"/>
          <w:shd w:val="clear" w:color="auto" w:fill="FFFFFF"/>
        </w:rPr>
        <w:t> </w:t>
      </w:r>
      <w:r w:rsidRPr="00751308">
        <w:rPr>
          <w:i/>
          <w:iCs/>
          <w:color w:val="222222"/>
          <w:sz w:val="24"/>
          <w:szCs w:val="24"/>
          <w:shd w:val="clear" w:color="auto" w:fill="FFFFFF"/>
        </w:rPr>
        <w:t>Cybersecurity: What Everyone Needs to Know</w:t>
      </w:r>
      <w:r w:rsidRPr="00751308">
        <w:rPr>
          <w:color w:val="222222"/>
          <w:sz w:val="24"/>
          <w:szCs w:val="24"/>
          <w:shd w:val="clear" w:color="auto" w:fill="FFFFFF"/>
        </w:rPr>
        <w:t>.Oxford University Press. (2014).</w:t>
      </w:r>
    </w:p>
    <w:p w:rsidR="002D577C" w:rsidRPr="00751308" w:rsidRDefault="00694074" w:rsidP="00751308">
      <w:pPr>
        <w:spacing w:line="480" w:lineRule="auto"/>
        <w:ind w:left="720" w:hanging="720"/>
        <w:rPr>
          <w:color w:val="222222"/>
          <w:sz w:val="24"/>
          <w:szCs w:val="24"/>
          <w:shd w:val="clear" w:color="auto" w:fill="FFFFFF"/>
        </w:rPr>
      </w:pPr>
      <w:r w:rsidRPr="00751308">
        <w:rPr>
          <w:color w:val="222222"/>
          <w:sz w:val="24"/>
          <w:szCs w:val="24"/>
          <w:shd w:val="clear" w:color="auto" w:fill="FFFFFF"/>
        </w:rPr>
        <w:t>Snow, Jennifer J.</w:t>
      </w:r>
      <w:r w:rsidRPr="00751308">
        <w:rPr>
          <w:rStyle w:val="apple-converted-space"/>
          <w:color w:val="222222"/>
          <w:sz w:val="24"/>
          <w:szCs w:val="24"/>
          <w:shd w:val="clear" w:color="auto" w:fill="FFFFFF"/>
        </w:rPr>
        <w:t> </w:t>
      </w:r>
      <w:r w:rsidRPr="00751308">
        <w:rPr>
          <w:i/>
          <w:iCs/>
          <w:color w:val="222222"/>
          <w:sz w:val="24"/>
          <w:szCs w:val="24"/>
          <w:shd w:val="clear" w:color="auto" w:fill="FFFFFF"/>
        </w:rPr>
        <w:t>Entering the matrix: the challenge of regulating Radical Leveling Technologies</w:t>
      </w:r>
      <w:r w:rsidRPr="00751308">
        <w:rPr>
          <w:color w:val="222222"/>
          <w:sz w:val="24"/>
          <w:szCs w:val="24"/>
          <w:shd w:val="clear" w:color="auto" w:fill="FFFFFF"/>
        </w:rPr>
        <w:t>. Diss. Monterey, California: Naval Postgraduate School, (2015).</w:t>
      </w:r>
    </w:p>
    <w:p w:rsidR="002D577C" w:rsidRDefault="00694074" w:rsidP="00751308">
      <w:pPr>
        <w:spacing w:line="480" w:lineRule="auto"/>
        <w:ind w:left="720" w:hanging="720"/>
        <w:rPr>
          <w:color w:val="222222"/>
          <w:sz w:val="24"/>
          <w:szCs w:val="24"/>
          <w:shd w:val="clear" w:color="auto" w:fill="FFFFFF"/>
        </w:rPr>
      </w:pPr>
      <w:r w:rsidRPr="00751308">
        <w:rPr>
          <w:color w:val="222222"/>
          <w:sz w:val="24"/>
          <w:szCs w:val="24"/>
          <w:shd w:val="clear" w:color="auto" w:fill="FFFFFF"/>
        </w:rPr>
        <w:t>Zedner, Lucia. "Is the criminal law only for citizens? A problem at the borders of punishment."</w:t>
      </w:r>
      <w:r w:rsidRPr="00751308">
        <w:rPr>
          <w:rStyle w:val="apple-converted-space"/>
          <w:color w:val="222222"/>
          <w:sz w:val="24"/>
          <w:szCs w:val="24"/>
          <w:shd w:val="clear" w:color="auto" w:fill="FFFFFF"/>
        </w:rPr>
        <w:t> </w:t>
      </w:r>
      <w:r w:rsidRPr="00751308">
        <w:rPr>
          <w:i/>
          <w:iCs/>
          <w:color w:val="222222"/>
          <w:sz w:val="24"/>
          <w:szCs w:val="24"/>
          <w:shd w:val="clear" w:color="auto" w:fill="FFFFFF"/>
        </w:rPr>
        <w:t>The borders of punishment: Criminal justice, citizenship and social exclusion</w:t>
      </w:r>
      <w:r w:rsidRPr="00751308">
        <w:rPr>
          <w:rStyle w:val="apple-converted-space"/>
          <w:color w:val="222222"/>
          <w:sz w:val="24"/>
          <w:szCs w:val="24"/>
          <w:shd w:val="clear" w:color="auto" w:fill="FFFFFF"/>
        </w:rPr>
        <w:t> </w:t>
      </w:r>
      <w:r w:rsidRPr="00751308">
        <w:rPr>
          <w:color w:val="222222"/>
          <w:sz w:val="24"/>
          <w:szCs w:val="24"/>
          <w:shd w:val="clear" w:color="auto" w:fill="FFFFFF"/>
        </w:rPr>
        <w:t>(2013): 40-57.</w:t>
      </w:r>
    </w:p>
    <w:p w:rsidR="00204F16" w:rsidRPr="00E25FA5" w:rsidRDefault="00204F16" w:rsidP="00204F16">
      <w:pPr>
        <w:spacing w:line="480" w:lineRule="auto"/>
        <w:rPr>
          <w:sz w:val="24"/>
          <w:szCs w:val="24"/>
          <w:u w:val="single"/>
        </w:rPr>
      </w:pPr>
      <w:r w:rsidRPr="00E25FA5">
        <w:rPr>
          <w:sz w:val="24"/>
          <w:szCs w:val="24"/>
        </w:rPr>
        <w:t>Department of Justice. (n.d</w:t>
      </w:r>
      <w:r w:rsidRPr="00204F16">
        <w:rPr>
          <w:i/>
          <w:sz w:val="24"/>
          <w:szCs w:val="24"/>
        </w:rPr>
        <w:t>.). Four Members of International Computer Hacking Ring Indicted for Stealing Gaming Technology, Apache Helicopter Training Software.</w:t>
      </w:r>
      <w:r w:rsidRPr="00E25FA5">
        <w:rPr>
          <w:sz w:val="24"/>
          <w:szCs w:val="24"/>
        </w:rPr>
        <w:t xml:space="preserve"> (2014, September 30). Retrieved January 18, 2017, from </w:t>
      </w:r>
      <w:hyperlink r:id="rId7">
        <w:r w:rsidRPr="00961073">
          <w:rPr>
            <w:sz w:val="24"/>
            <w:szCs w:val="24"/>
          </w:rPr>
          <w:t>https://www.justice.gov/opa/pr/four-mmbers-international-computer-hacking-ring-indicted-stealing-gaming-technology-apache</w:t>
        </w:r>
      </w:hyperlink>
    </w:p>
    <w:p w:rsidR="00204F16" w:rsidRDefault="00204F16" w:rsidP="00751308">
      <w:pPr>
        <w:spacing w:line="480" w:lineRule="auto"/>
        <w:ind w:left="720" w:hanging="720"/>
        <w:rPr>
          <w:color w:val="222222"/>
          <w:sz w:val="24"/>
          <w:szCs w:val="24"/>
          <w:shd w:val="clear" w:color="auto" w:fill="FFFFFF"/>
        </w:rPr>
      </w:pPr>
    </w:p>
    <w:p w:rsidR="00204F16" w:rsidRPr="00751308" w:rsidRDefault="00204F16" w:rsidP="00751308">
      <w:pPr>
        <w:spacing w:line="480" w:lineRule="auto"/>
        <w:ind w:left="720" w:hanging="720"/>
        <w:rPr>
          <w:color w:val="222222"/>
          <w:sz w:val="24"/>
          <w:szCs w:val="24"/>
          <w:shd w:val="clear" w:color="auto" w:fill="FFFFFF"/>
        </w:rPr>
      </w:pPr>
    </w:p>
    <w:p w:rsidR="002D577C" w:rsidRPr="00751308" w:rsidRDefault="00FE7C6A" w:rsidP="00751308">
      <w:pPr>
        <w:spacing w:line="480" w:lineRule="auto"/>
        <w:rPr>
          <w:sz w:val="24"/>
          <w:szCs w:val="24"/>
        </w:rPr>
      </w:pPr>
    </w:p>
    <w:sectPr w:rsidR="002D577C" w:rsidRPr="00751308" w:rsidSect="00E907F8">
      <w:headerReference w:type="default" r:id="rId8"/>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6A" w:rsidRDefault="00FE7C6A" w:rsidP="0048226A">
      <w:r>
        <w:separator/>
      </w:r>
    </w:p>
  </w:endnote>
  <w:endnote w:type="continuationSeparator" w:id="0">
    <w:p w:rsidR="00FE7C6A" w:rsidRDefault="00FE7C6A" w:rsidP="0048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6A" w:rsidRDefault="00FE7C6A" w:rsidP="0048226A">
      <w:r>
        <w:separator/>
      </w:r>
    </w:p>
  </w:footnote>
  <w:footnote w:type="continuationSeparator" w:id="0">
    <w:p w:rsidR="00FE7C6A" w:rsidRDefault="00FE7C6A" w:rsidP="0048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C78" w:rsidRPr="00687EB0" w:rsidRDefault="00EF3898">
    <w:pPr>
      <w:pStyle w:val="Header"/>
      <w:jc w:val="right"/>
      <w:rPr>
        <w:sz w:val="24"/>
      </w:rPr>
    </w:pPr>
    <w:r>
      <w:rPr>
        <w:sz w:val="24"/>
      </w:rPr>
      <w:t>O</w:t>
    </w:r>
    <w:r w:rsidR="00694074">
      <w:rPr>
        <w:sz w:val="24"/>
      </w:rPr>
      <w:t xml:space="preserve"> </w:t>
    </w:r>
    <w:r w:rsidR="00F72660" w:rsidRPr="00687EB0">
      <w:rPr>
        <w:rStyle w:val="PageNumber"/>
        <w:sz w:val="24"/>
      </w:rPr>
      <w:fldChar w:fldCharType="begin"/>
    </w:r>
    <w:r w:rsidR="00694074" w:rsidRPr="00687EB0">
      <w:rPr>
        <w:rStyle w:val="PageNumber"/>
        <w:sz w:val="24"/>
      </w:rPr>
      <w:instrText xml:space="preserve"> PAGE </w:instrText>
    </w:r>
    <w:r w:rsidR="00F72660" w:rsidRPr="00687EB0">
      <w:rPr>
        <w:rStyle w:val="PageNumber"/>
        <w:sz w:val="24"/>
      </w:rPr>
      <w:fldChar w:fldCharType="separate"/>
    </w:r>
    <w:r>
      <w:rPr>
        <w:rStyle w:val="PageNumber"/>
        <w:noProof/>
        <w:sz w:val="24"/>
      </w:rPr>
      <w:t>1</w:t>
    </w:r>
    <w:r w:rsidR="00F72660" w:rsidRPr="00687EB0">
      <w:rPr>
        <w:rStyle w:val="PageNumbe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B02"/>
    <w:multiLevelType w:val="hybridMultilevel"/>
    <w:tmpl w:val="843EA350"/>
    <w:lvl w:ilvl="0" w:tplc="6FF482B4">
      <w:start w:val="1"/>
      <w:numFmt w:val="bullet"/>
      <w:lvlText w:val=""/>
      <w:lvlJc w:val="left"/>
      <w:pPr>
        <w:ind w:left="720" w:hanging="360"/>
      </w:pPr>
      <w:rPr>
        <w:rFonts w:ascii="Symbol" w:hAnsi="Symbol" w:hint="default"/>
      </w:rPr>
    </w:lvl>
    <w:lvl w:ilvl="1" w:tplc="D702E308" w:tentative="1">
      <w:start w:val="1"/>
      <w:numFmt w:val="bullet"/>
      <w:lvlText w:val="o"/>
      <w:lvlJc w:val="left"/>
      <w:pPr>
        <w:ind w:left="1440" w:hanging="360"/>
      </w:pPr>
      <w:rPr>
        <w:rFonts w:ascii="Courier New" w:hAnsi="Courier New" w:cs="Courier New" w:hint="default"/>
      </w:rPr>
    </w:lvl>
    <w:lvl w:ilvl="2" w:tplc="3A6E0DE6" w:tentative="1">
      <w:start w:val="1"/>
      <w:numFmt w:val="bullet"/>
      <w:lvlText w:val=""/>
      <w:lvlJc w:val="left"/>
      <w:pPr>
        <w:ind w:left="2160" w:hanging="360"/>
      </w:pPr>
      <w:rPr>
        <w:rFonts w:ascii="Wingdings" w:hAnsi="Wingdings" w:hint="default"/>
      </w:rPr>
    </w:lvl>
    <w:lvl w:ilvl="3" w:tplc="B5D8D7F6" w:tentative="1">
      <w:start w:val="1"/>
      <w:numFmt w:val="bullet"/>
      <w:lvlText w:val=""/>
      <w:lvlJc w:val="left"/>
      <w:pPr>
        <w:ind w:left="2880" w:hanging="360"/>
      </w:pPr>
      <w:rPr>
        <w:rFonts w:ascii="Symbol" w:hAnsi="Symbol" w:hint="default"/>
      </w:rPr>
    </w:lvl>
    <w:lvl w:ilvl="4" w:tplc="70E80AC6" w:tentative="1">
      <w:start w:val="1"/>
      <w:numFmt w:val="bullet"/>
      <w:lvlText w:val="o"/>
      <w:lvlJc w:val="left"/>
      <w:pPr>
        <w:ind w:left="3600" w:hanging="360"/>
      </w:pPr>
      <w:rPr>
        <w:rFonts w:ascii="Courier New" w:hAnsi="Courier New" w:cs="Courier New" w:hint="default"/>
      </w:rPr>
    </w:lvl>
    <w:lvl w:ilvl="5" w:tplc="93D282E4" w:tentative="1">
      <w:start w:val="1"/>
      <w:numFmt w:val="bullet"/>
      <w:lvlText w:val=""/>
      <w:lvlJc w:val="left"/>
      <w:pPr>
        <w:ind w:left="4320" w:hanging="360"/>
      </w:pPr>
      <w:rPr>
        <w:rFonts w:ascii="Wingdings" w:hAnsi="Wingdings" w:hint="default"/>
      </w:rPr>
    </w:lvl>
    <w:lvl w:ilvl="6" w:tplc="EA8EF462" w:tentative="1">
      <w:start w:val="1"/>
      <w:numFmt w:val="bullet"/>
      <w:lvlText w:val=""/>
      <w:lvlJc w:val="left"/>
      <w:pPr>
        <w:ind w:left="5040" w:hanging="360"/>
      </w:pPr>
      <w:rPr>
        <w:rFonts w:ascii="Symbol" w:hAnsi="Symbol" w:hint="default"/>
      </w:rPr>
    </w:lvl>
    <w:lvl w:ilvl="7" w:tplc="FE2EEAF6" w:tentative="1">
      <w:start w:val="1"/>
      <w:numFmt w:val="bullet"/>
      <w:lvlText w:val="o"/>
      <w:lvlJc w:val="left"/>
      <w:pPr>
        <w:ind w:left="5760" w:hanging="360"/>
      </w:pPr>
      <w:rPr>
        <w:rFonts w:ascii="Courier New" w:hAnsi="Courier New" w:cs="Courier New" w:hint="default"/>
      </w:rPr>
    </w:lvl>
    <w:lvl w:ilvl="8" w:tplc="6D04AB2E" w:tentative="1">
      <w:start w:val="1"/>
      <w:numFmt w:val="bullet"/>
      <w:lvlText w:val=""/>
      <w:lvlJc w:val="left"/>
      <w:pPr>
        <w:ind w:left="6480" w:hanging="360"/>
      </w:pPr>
      <w:rPr>
        <w:rFonts w:ascii="Wingdings" w:hAnsi="Wingdings" w:hint="default"/>
      </w:rPr>
    </w:lvl>
  </w:abstractNum>
  <w:abstractNum w:abstractNumId="1" w15:restartNumberingAfterBreak="0">
    <w:nsid w:val="03B5574D"/>
    <w:multiLevelType w:val="hybridMultilevel"/>
    <w:tmpl w:val="CFAC99F8"/>
    <w:lvl w:ilvl="0" w:tplc="18EC8B3E">
      <w:start w:val="1"/>
      <w:numFmt w:val="bullet"/>
      <w:lvlText w:val=""/>
      <w:lvlJc w:val="left"/>
      <w:pPr>
        <w:ind w:left="720" w:hanging="360"/>
      </w:pPr>
      <w:rPr>
        <w:rFonts w:ascii="Symbol" w:hAnsi="Symbol" w:hint="default"/>
      </w:rPr>
    </w:lvl>
    <w:lvl w:ilvl="1" w:tplc="70C26332" w:tentative="1">
      <w:start w:val="1"/>
      <w:numFmt w:val="bullet"/>
      <w:lvlText w:val="o"/>
      <w:lvlJc w:val="left"/>
      <w:pPr>
        <w:ind w:left="1440" w:hanging="360"/>
      </w:pPr>
      <w:rPr>
        <w:rFonts w:ascii="Courier New" w:hAnsi="Courier New" w:cs="Courier New" w:hint="default"/>
      </w:rPr>
    </w:lvl>
    <w:lvl w:ilvl="2" w:tplc="076CFA6E" w:tentative="1">
      <w:start w:val="1"/>
      <w:numFmt w:val="bullet"/>
      <w:lvlText w:val=""/>
      <w:lvlJc w:val="left"/>
      <w:pPr>
        <w:ind w:left="2160" w:hanging="360"/>
      </w:pPr>
      <w:rPr>
        <w:rFonts w:ascii="Wingdings" w:hAnsi="Wingdings" w:hint="default"/>
      </w:rPr>
    </w:lvl>
    <w:lvl w:ilvl="3" w:tplc="F0FED09E" w:tentative="1">
      <w:start w:val="1"/>
      <w:numFmt w:val="bullet"/>
      <w:lvlText w:val=""/>
      <w:lvlJc w:val="left"/>
      <w:pPr>
        <w:ind w:left="2880" w:hanging="360"/>
      </w:pPr>
      <w:rPr>
        <w:rFonts w:ascii="Symbol" w:hAnsi="Symbol" w:hint="default"/>
      </w:rPr>
    </w:lvl>
    <w:lvl w:ilvl="4" w:tplc="F282FDD4" w:tentative="1">
      <w:start w:val="1"/>
      <w:numFmt w:val="bullet"/>
      <w:lvlText w:val="o"/>
      <w:lvlJc w:val="left"/>
      <w:pPr>
        <w:ind w:left="3600" w:hanging="360"/>
      </w:pPr>
      <w:rPr>
        <w:rFonts w:ascii="Courier New" w:hAnsi="Courier New" w:cs="Courier New" w:hint="default"/>
      </w:rPr>
    </w:lvl>
    <w:lvl w:ilvl="5" w:tplc="75326546" w:tentative="1">
      <w:start w:val="1"/>
      <w:numFmt w:val="bullet"/>
      <w:lvlText w:val=""/>
      <w:lvlJc w:val="left"/>
      <w:pPr>
        <w:ind w:left="4320" w:hanging="360"/>
      </w:pPr>
      <w:rPr>
        <w:rFonts w:ascii="Wingdings" w:hAnsi="Wingdings" w:hint="default"/>
      </w:rPr>
    </w:lvl>
    <w:lvl w:ilvl="6" w:tplc="C8446556" w:tentative="1">
      <w:start w:val="1"/>
      <w:numFmt w:val="bullet"/>
      <w:lvlText w:val=""/>
      <w:lvlJc w:val="left"/>
      <w:pPr>
        <w:ind w:left="5040" w:hanging="360"/>
      </w:pPr>
      <w:rPr>
        <w:rFonts w:ascii="Symbol" w:hAnsi="Symbol" w:hint="default"/>
      </w:rPr>
    </w:lvl>
    <w:lvl w:ilvl="7" w:tplc="2916BC0C" w:tentative="1">
      <w:start w:val="1"/>
      <w:numFmt w:val="bullet"/>
      <w:lvlText w:val="o"/>
      <w:lvlJc w:val="left"/>
      <w:pPr>
        <w:ind w:left="5760" w:hanging="360"/>
      </w:pPr>
      <w:rPr>
        <w:rFonts w:ascii="Courier New" w:hAnsi="Courier New" w:cs="Courier New" w:hint="default"/>
      </w:rPr>
    </w:lvl>
    <w:lvl w:ilvl="8" w:tplc="95EC0406" w:tentative="1">
      <w:start w:val="1"/>
      <w:numFmt w:val="bullet"/>
      <w:lvlText w:val=""/>
      <w:lvlJc w:val="left"/>
      <w:pPr>
        <w:ind w:left="6480" w:hanging="360"/>
      </w:pPr>
      <w:rPr>
        <w:rFonts w:ascii="Wingdings" w:hAnsi="Wingdings" w:hint="default"/>
      </w:rPr>
    </w:lvl>
  </w:abstractNum>
  <w:abstractNum w:abstractNumId="2" w15:restartNumberingAfterBreak="0">
    <w:nsid w:val="03D772D9"/>
    <w:multiLevelType w:val="hybridMultilevel"/>
    <w:tmpl w:val="56242EAA"/>
    <w:lvl w:ilvl="0" w:tplc="4EBE528C">
      <w:start w:val="1"/>
      <w:numFmt w:val="lowerRoman"/>
      <w:lvlText w:val="%1."/>
      <w:lvlJc w:val="left"/>
      <w:pPr>
        <w:ind w:left="1080" w:hanging="720"/>
      </w:pPr>
      <w:rPr>
        <w:rFonts w:hint="default"/>
      </w:rPr>
    </w:lvl>
    <w:lvl w:ilvl="1" w:tplc="1554832E" w:tentative="1">
      <w:start w:val="1"/>
      <w:numFmt w:val="lowerLetter"/>
      <w:lvlText w:val="%2."/>
      <w:lvlJc w:val="left"/>
      <w:pPr>
        <w:ind w:left="1440" w:hanging="360"/>
      </w:pPr>
    </w:lvl>
    <w:lvl w:ilvl="2" w:tplc="F65AA64E" w:tentative="1">
      <w:start w:val="1"/>
      <w:numFmt w:val="lowerRoman"/>
      <w:lvlText w:val="%3."/>
      <w:lvlJc w:val="right"/>
      <w:pPr>
        <w:ind w:left="2160" w:hanging="180"/>
      </w:pPr>
    </w:lvl>
    <w:lvl w:ilvl="3" w:tplc="75140F76" w:tentative="1">
      <w:start w:val="1"/>
      <w:numFmt w:val="decimal"/>
      <w:lvlText w:val="%4."/>
      <w:lvlJc w:val="left"/>
      <w:pPr>
        <w:ind w:left="2880" w:hanging="360"/>
      </w:pPr>
    </w:lvl>
    <w:lvl w:ilvl="4" w:tplc="691A9512" w:tentative="1">
      <w:start w:val="1"/>
      <w:numFmt w:val="lowerLetter"/>
      <w:lvlText w:val="%5."/>
      <w:lvlJc w:val="left"/>
      <w:pPr>
        <w:ind w:left="3600" w:hanging="360"/>
      </w:pPr>
    </w:lvl>
    <w:lvl w:ilvl="5" w:tplc="4B22B19A" w:tentative="1">
      <w:start w:val="1"/>
      <w:numFmt w:val="lowerRoman"/>
      <w:lvlText w:val="%6."/>
      <w:lvlJc w:val="right"/>
      <w:pPr>
        <w:ind w:left="4320" w:hanging="180"/>
      </w:pPr>
    </w:lvl>
    <w:lvl w:ilvl="6" w:tplc="D2F24732" w:tentative="1">
      <w:start w:val="1"/>
      <w:numFmt w:val="decimal"/>
      <w:lvlText w:val="%7."/>
      <w:lvlJc w:val="left"/>
      <w:pPr>
        <w:ind w:left="5040" w:hanging="360"/>
      </w:pPr>
    </w:lvl>
    <w:lvl w:ilvl="7" w:tplc="DBC25B82" w:tentative="1">
      <w:start w:val="1"/>
      <w:numFmt w:val="lowerLetter"/>
      <w:lvlText w:val="%8."/>
      <w:lvlJc w:val="left"/>
      <w:pPr>
        <w:ind w:left="5760" w:hanging="360"/>
      </w:pPr>
    </w:lvl>
    <w:lvl w:ilvl="8" w:tplc="13AC2ED0" w:tentative="1">
      <w:start w:val="1"/>
      <w:numFmt w:val="lowerRoman"/>
      <w:lvlText w:val="%9."/>
      <w:lvlJc w:val="right"/>
      <w:pPr>
        <w:ind w:left="6480" w:hanging="180"/>
      </w:pPr>
    </w:lvl>
  </w:abstractNum>
  <w:abstractNum w:abstractNumId="3" w15:restartNumberingAfterBreak="0">
    <w:nsid w:val="060D482A"/>
    <w:multiLevelType w:val="hybridMultilevel"/>
    <w:tmpl w:val="1AEADE78"/>
    <w:lvl w:ilvl="0" w:tplc="1444CBDE">
      <w:start w:val="1"/>
      <w:numFmt w:val="decimal"/>
      <w:lvlText w:val="%1."/>
      <w:lvlJc w:val="left"/>
      <w:pPr>
        <w:ind w:left="720" w:hanging="360"/>
      </w:pPr>
      <w:rPr>
        <w:rFonts w:hint="default"/>
      </w:rPr>
    </w:lvl>
    <w:lvl w:ilvl="1" w:tplc="929AB9D6" w:tentative="1">
      <w:start w:val="1"/>
      <w:numFmt w:val="lowerLetter"/>
      <w:lvlText w:val="%2."/>
      <w:lvlJc w:val="left"/>
      <w:pPr>
        <w:ind w:left="1440" w:hanging="360"/>
      </w:pPr>
    </w:lvl>
    <w:lvl w:ilvl="2" w:tplc="BC628370" w:tentative="1">
      <w:start w:val="1"/>
      <w:numFmt w:val="lowerRoman"/>
      <w:lvlText w:val="%3."/>
      <w:lvlJc w:val="right"/>
      <w:pPr>
        <w:ind w:left="2160" w:hanging="180"/>
      </w:pPr>
    </w:lvl>
    <w:lvl w:ilvl="3" w:tplc="F6001752" w:tentative="1">
      <w:start w:val="1"/>
      <w:numFmt w:val="decimal"/>
      <w:lvlText w:val="%4."/>
      <w:lvlJc w:val="left"/>
      <w:pPr>
        <w:ind w:left="2880" w:hanging="360"/>
      </w:pPr>
    </w:lvl>
    <w:lvl w:ilvl="4" w:tplc="16A06DA6" w:tentative="1">
      <w:start w:val="1"/>
      <w:numFmt w:val="lowerLetter"/>
      <w:lvlText w:val="%5."/>
      <w:lvlJc w:val="left"/>
      <w:pPr>
        <w:ind w:left="3600" w:hanging="360"/>
      </w:pPr>
    </w:lvl>
    <w:lvl w:ilvl="5" w:tplc="E716FB6A" w:tentative="1">
      <w:start w:val="1"/>
      <w:numFmt w:val="lowerRoman"/>
      <w:lvlText w:val="%6."/>
      <w:lvlJc w:val="right"/>
      <w:pPr>
        <w:ind w:left="4320" w:hanging="180"/>
      </w:pPr>
    </w:lvl>
    <w:lvl w:ilvl="6" w:tplc="BA1C69EC" w:tentative="1">
      <w:start w:val="1"/>
      <w:numFmt w:val="decimal"/>
      <w:lvlText w:val="%7."/>
      <w:lvlJc w:val="left"/>
      <w:pPr>
        <w:ind w:left="5040" w:hanging="360"/>
      </w:pPr>
    </w:lvl>
    <w:lvl w:ilvl="7" w:tplc="FEF6BFFA" w:tentative="1">
      <w:start w:val="1"/>
      <w:numFmt w:val="lowerLetter"/>
      <w:lvlText w:val="%8."/>
      <w:lvlJc w:val="left"/>
      <w:pPr>
        <w:ind w:left="5760" w:hanging="360"/>
      </w:pPr>
    </w:lvl>
    <w:lvl w:ilvl="8" w:tplc="54CEC184" w:tentative="1">
      <w:start w:val="1"/>
      <w:numFmt w:val="lowerRoman"/>
      <w:lvlText w:val="%9."/>
      <w:lvlJc w:val="right"/>
      <w:pPr>
        <w:ind w:left="6480" w:hanging="180"/>
      </w:pPr>
    </w:lvl>
  </w:abstractNum>
  <w:abstractNum w:abstractNumId="4" w15:restartNumberingAfterBreak="0">
    <w:nsid w:val="09DD0DBC"/>
    <w:multiLevelType w:val="hybridMultilevel"/>
    <w:tmpl w:val="1038B384"/>
    <w:lvl w:ilvl="0" w:tplc="0F547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E01B6"/>
    <w:multiLevelType w:val="hybridMultilevel"/>
    <w:tmpl w:val="C11E3C72"/>
    <w:lvl w:ilvl="0" w:tplc="0F547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478D8"/>
    <w:multiLevelType w:val="hybridMultilevel"/>
    <w:tmpl w:val="78CA8196"/>
    <w:lvl w:ilvl="0" w:tplc="0F547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E24D3"/>
    <w:multiLevelType w:val="hybridMultilevel"/>
    <w:tmpl w:val="DB7A8EA2"/>
    <w:lvl w:ilvl="0" w:tplc="0F547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54906"/>
    <w:multiLevelType w:val="hybridMultilevel"/>
    <w:tmpl w:val="6FD6FCCC"/>
    <w:lvl w:ilvl="0" w:tplc="0F5476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6"/>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226A"/>
    <w:rsid w:val="000D4AC0"/>
    <w:rsid w:val="001163B4"/>
    <w:rsid w:val="00204F16"/>
    <w:rsid w:val="00443748"/>
    <w:rsid w:val="0048226A"/>
    <w:rsid w:val="005F56E3"/>
    <w:rsid w:val="00694074"/>
    <w:rsid w:val="00751308"/>
    <w:rsid w:val="00961073"/>
    <w:rsid w:val="00995760"/>
    <w:rsid w:val="00BF6FB1"/>
    <w:rsid w:val="00E15D2F"/>
    <w:rsid w:val="00EF3898"/>
    <w:rsid w:val="00F72660"/>
    <w:rsid w:val="00FE7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3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83D90"/>
    <w:pPr>
      <w:tabs>
        <w:tab w:val="center" w:pos="4320"/>
        <w:tab w:val="right" w:pos="8640"/>
      </w:tabs>
    </w:pPr>
  </w:style>
  <w:style w:type="paragraph" w:styleId="Footer">
    <w:name w:val="footer"/>
    <w:basedOn w:val="Normal"/>
    <w:semiHidden/>
    <w:rsid w:val="00C83D90"/>
    <w:pPr>
      <w:tabs>
        <w:tab w:val="center" w:pos="4320"/>
        <w:tab w:val="right" w:pos="8640"/>
      </w:tabs>
    </w:pPr>
  </w:style>
  <w:style w:type="character" w:styleId="PageNumber">
    <w:name w:val="page number"/>
    <w:basedOn w:val="DefaultParagraphFont"/>
    <w:semiHidden/>
    <w:rsid w:val="00C83D90"/>
  </w:style>
  <w:style w:type="paragraph" w:styleId="DocumentMap">
    <w:name w:val="Document Map"/>
    <w:basedOn w:val="Normal"/>
    <w:semiHidden/>
    <w:rsid w:val="00C83D90"/>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 w:type="paragraph" w:styleId="ListParagraph">
    <w:name w:val="List Paragraph"/>
    <w:basedOn w:val="Normal"/>
    <w:uiPriority w:val="34"/>
    <w:qFormat/>
    <w:rsid w:val="00050CBB"/>
    <w:pPr>
      <w:spacing w:after="160" w:line="259" w:lineRule="auto"/>
      <w:ind w:left="720"/>
      <w:contextualSpacing/>
    </w:pPr>
    <w:rPr>
      <w:rFonts w:ascii="Calibri" w:eastAsia="Calibri" w:hAnsi="Calibri"/>
      <w:sz w:val="22"/>
      <w:szCs w:val="22"/>
      <w:lang w:val="en-GB"/>
    </w:rPr>
  </w:style>
  <w:style w:type="character" w:customStyle="1" w:styleId="apple-converted-space">
    <w:name w:val="apple-converted-space"/>
    <w:rsid w:val="00050CBB"/>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8226A"/>
  </w:style>
  <w:style w:type="character" w:customStyle="1" w:styleId="CommentTextChar">
    <w:name w:val="Comment Text Char"/>
    <w:basedOn w:val="DefaultParagraphFont"/>
    <w:link w:val="CommentText"/>
    <w:uiPriority w:val="99"/>
    <w:semiHidden/>
    <w:rsid w:val="0048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stice.gov/opa/pr/four-mmbers-international-computer-hacking-ring-indicted-stealing-gaming-technology-apa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2017-03-27T00:08:00Z</dcterms:created>
  <dcterms:modified xsi:type="dcterms:W3CDTF">2017-04-22T00:04:00Z</dcterms:modified>
</cp:coreProperties>
</file>